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327F" w14:textId="5A785B15" w:rsidR="00005EB0" w:rsidRPr="00005EB0" w:rsidRDefault="00005EB0" w:rsidP="00005EB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5EB0">
        <w:rPr>
          <w:rFonts w:ascii="Times New Roman" w:hAnsi="Times New Roman" w:cs="Times New Roman"/>
          <w:b/>
          <w:bCs/>
          <w:sz w:val="26"/>
          <w:szCs w:val="26"/>
        </w:rPr>
        <w:t>DIRITTO CIVILE</w:t>
      </w:r>
    </w:p>
    <w:p w14:paraId="723C2C10" w14:textId="311895A9" w:rsidR="00005EB0" w:rsidRPr="00650C79" w:rsidRDefault="00112088" w:rsidP="00112088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5EB0" w:rsidRPr="00005EB0">
        <w:rPr>
          <w:rFonts w:ascii="Times New Roman" w:hAnsi="Times New Roman" w:cs="Times New Roman"/>
          <w:sz w:val="26"/>
          <w:szCs w:val="26"/>
        </w:rPr>
        <w:t xml:space="preserve"> Metodologia della scrittura forense. L'argomentazione giuridica e le tecniche argomentative- deontologia. </w:t>
      </w:r>
      <w:r w:rsidR="00696D1D" w:rsidRPr="001727B9">
        <w:rPr>
          <w:rFonts w:ascii="Times New Roman" w:hAnsi="Times New Roman" w:cs="Times New Roman"/>
          <w:sz w:val="26"/>
          <w:szCs w:val="26"/>
        </w:rPr>
        <w:t>La responsabilità professionale dell’avvocato</w:t>
      </w:r>
      <w:r w:rsidR="00B419DF" w:rsidRPr="001727B9">
        <w:rPr>
          <w:rFonts w:ascii="Times New Roman" w:hAnsi="Times New Roman" w:cs="Times New Roman"/>
          <w:sz w:val="26"/>
          <w:szCs w:val="26"/>
        </w:rPr>
        <w:t xml:space="preserve"> da lite temeraria</w:t>
      </w:r>
      <w:r w:rsidR="001727B9" w:rsidRPr="001727B9">
        <w:rPr>
          <w:rFonts w:ascii="Times New Roman" w:hAnsi="Times New Roman" w:cs="Times New Roman"/>
          <w:sz w:val="26"/>
          <w:szCs w:val="26"/>
        </w:rPr>
        <w:t>.</w:t>
      </w:r>
    </w:p>
    <w:p w14:paraId="0973502F" w14:textId="61E5FBD8" w:rsidR="00005EB0" w:rsidRPr="00005EB0" w:rsidRDefault="00112088" w:rsidP="00005E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05EB0" w:rsidRPr="00005EB0">
        <w:rPr>
          <w:rFonts w:ascii="Times New Roman" w:hAnsi="Times New Roman" w:cs="Times New Roman"/>
          <w:sz w:val="26"/>
          <w:szCs w:val="26"/>
        </w:rPr>
        <w:t>. La rescissione. La rescindibilità del contratto preliminare di compravendita immobiliare.</w:t>
      </w:r>
    </w:p>
    <w:p w14:paraId="27D7E3FB" w14:textId="1D72167A" w:rsidR="00005EB0" w:rsidRDefault="00112088" w:rsidP="00005E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05EB0" w:rsidRPr="00005EB0">
        <w:rPr>
          <w:rFonts w:ascii="Times New Roman" w:hAnsi="Times New Roman" w:cs="Times New Roman"/>
          <w:sz w:val="26"/>
          <w:szCs w:val="26"/>
        </w:rPr>
        <w:t>. Azione di regolamento dei confini. Distanze legali. Comunione forzosa del muro comune.</w:t>
      </w:r>
    </w:p>
    <w:p w14:paraId="59C2A80E" w14:textId="54C17347" w:rsidR="00112088" w:rsidRPr="00005EB0" w:rsidRDefault="00112088" w:rsidP="00005E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Responsabilità medica: errore diagnostico e risarcimento del danno.</w:t>
      </w:r>
    </w:p>
    <w:p w14:paraId="2051E3E9" w14:textId="3C694B41" w:rsidR="00005EB0" w:rsidRPr="00005EB0" w:rsidRDefault="00005EB0" w:rsidP="00005EB0">
      <w:pPr>
        <w:rPr>
          <w:rFonts w:ascii="Times New Roman" w:hAnsi="Times New Roman" w:cs="Times New Roman"/>
          <w:sz w:val="26"/>
          <w:szCs w:val="26"/>
        </w:rPr>
      </w:pPr>
      <w:r w:rsidRPr="001977F3">
        <w:rPr>
          <w:rFonts w:ascii="Times New Roman" w:hAnsi="Times New Roman" w:cs="Times New Roman"/>
          <w:sz w:val="26"/>
          <w:szCs w:val="26"/>
        </w:rPr>
        <w:t>4. Sostituzione e rappresentazione ereditaria. Rinunzia all'esercizio dell'azione di riduzione.</w:t>
      </w:r>
    </w:p>
    <w:p w14:paraId="00E7526E" w14:textId="77777777" w:rsidR="00005EB0" w:rsidRPr="00005EB0" w:rsidRDefault="00005EB0" w:rsidP="00005EB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EE6DFF" w14:textId="3FE06DDC" w:rsidR="00005EB0" w:rsidRPr="00005EB0" w:rsidRDefault="00005EB0" w:rsidP="00005EB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5EB0">
        <w:rPr>
          <w:rFonts w:ascii="Times New Roman" w:hAnsi="Times New Roman" w:cs="Times New Roman"/>
          <w:b/>
          <w:bCs/>
          <w:sz w:val="26"/>
          <w:szCs w:val="26"/>
        </w:rPr>
        <w:t>DIRITTO AMMINISTRATIVO</w:t>
      </w:r>
    </w:p>
    <w:p w14:paraId="17BD9250" w14:textId="1ADCFDF2" w:rsidR="00112088" w:rsidRDefault="00005EB0" w:rsidP="00112088">
      <w:pPr>
        <w:rPr>
          <w:rFonts w:ascii="Times New Roman" w:hAnsi="Times New Roman" w:cs="Times New Roman"/>
          <w:sz w:val="26"/>
          <w:szCs w:val="26"/>
        </w:rPr>
      </w:pPr>
      <w:r w:rsidRPr="00005EB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5EB0">
        <w:rPr>
          <w:rFonts w:ascii="Times New Roman" w:hAnsi="Times New Roman" w:cs="Times New Roman"/>
          <w:sz w:val="26"/>
          <w:szCs w:val="26"/>
        </w:rPr>
        <w:t xml:space="preserve"> </w:t>
      </w:r>
      <w:r w:rsidR="001977F3">
        <w:rPr>
          <w:rFonts w:ascii="Times New Roman" w:hAnsi="Times New Roman" w:cs="Times New Roman"/>
          <w:sz w:val="26"/>
          <w:szCs w:val="26"/>
        </w:rPr>
        <w:t xml:space="preserve">I </w:t>
      </w:r>
      <w:r w:rsidRPr="001977F3">
        <w:rPr>
          <w:rFonts w:ascii="Times New Roman" w:hAnsi="Times New Roman" w:cs="Times New Roman"/>
          <w:sz w:val="26"/>
          <w:szCs w:val="26"/>
        </w:rPr>
        <w:t>vizi del provvedimento amministrativo- l’interesse ad agire – il ricorso giurisdizionale ordinario di primo grado – i poteri istruttori del GA</w:t>
      </w:r>
      <w:r w:rsidR="001977F3">
        <w:rPr>
          <w:rFonts w:ascii="Times New Roman" w:hAnsi="Times New Roman" w:cs="Times New Roman"/>
          <w:sz w:val="26"/>
          <w:szCs w:val="26"/>
        </w:rPr>
        <w:t>.</w:t>
      </w:r>
    </w:p>
    <w:p w14:paraId="0E8E0617" w14:textId="77777777" w:rsidR="001977F3" w:rsidRDefault="00472FF3" w:rsidP="00197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977F3">
        <w:rPr>
          <w:rFonts w:ascii="Times New Roman" w:hAnsi="Times New Roman" w:cs="Times New Roman"/>
          <w:sz w:val="26"/>
          <w:szCs w:val="26"/>
        </w:rPr>
        <w:t xml:space="preserve"> </w:t>
      </w:r>
      <w:r w:rsidR="001977F3">
        <w:rPr>
          <w:rFonts w:ascii="Times New Roman" w:hAnsi="Times New Roman" w:cs="Times New Roman"/>
          <w:sz w:val="28"/>
          <w:szCs w:val="28"/>
        </w:rPr>
        <w:t>Il diritto di accesso. Riti speciali - Tecniche di redazione dei ricorsi nei riti speciali.</w:t>
      </w:r>
    </w:p>
    <w:p w14:paraId="58BF9333" w14:textId="092B626E" w:rsidR="00005EB0" w:rsidRPr="00005EB0" w:rsidRDefault="001977F3" w:rsidP="001120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72FF3">
        <w:rPr>
          <w:rFonts w:ascii="Times New Roman" w:hAnsi="Times New Roman" w:cs="Times New Roman"/>
          <w:sz w:val="26"/>
          <w:szCs w:val="26"/>
        </w:rPr>
        <w:t xml:space="preserve"> </w:t>
      </w:r>
      <w:r w:rsidR="00005EB0" w:rsidRPr="00005EB0">
        <w:rPr>
          <w:rFonts w:ascii="Times New Roman" w:hAnsi="Times New Roman" w:cs="Times New Roman"/>
          <w:sz w:val="26"/>
          <w:szCs w:val="26"/>
        </w:rPr>
        <w:t>Espropriazione per pubblica utilità – occupazione usurpativa – tutela risarcitoria</w:t>
      </w:r>
      <w:r w:rsidR="00112088">
        <w:rPr>
          <w:rFonts w:ascii="Times New Roman" w:hAnsi="Times New Roman" w:cs="Times New Roman"/>
          <w:sz w:val="26"/>
          <w:szCs w:val="26"/>
        </w:rPr>
        <w:t>.</w:t>
      </w:r>
    </w:p>
    <w:p w14:paraId="11B3AB20" w14:textId="6C0EE832" w:rsidR="00140883" w:rsidRPr="00472FF3" w:rsidRDefault="00140883" w:rsidP="00005EB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72FF3">
        <w:rPr>
          <w:rFonts w:ascii="Times New Roman" w:hAnsi="Times New Roman" w:cs="Times New Roman"/>
          <w:b/>
          <w:bCs/>
          <w:sz w:val="26"/>
          <w:szCs w:val="26"/>
        </w:rPr>
        <w:t>DIRITTO PENALE</w:t>
      </w:r>
    </w:p>
    <w:p w14:paraId="61BAFC78" w14:textId="5CC4E9E2" w:rsidR="00233F38" w:rsidRDefault="00CC4C62" w:rsidP="00005E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3F38" w:rsidRPr="00005EB0">
        <w:rPr>
          <w:rFonts w:ascii="Times New Roman" w:hAnsi="Times New Roman" w:cs="Times New Roman"/>
          <w:sz w:val="26"/>
          <w:szCs w:val="26"/>
        </w:rPr>
        <w:t>Metodologia della scrittura forense. L'argomentazione giuridica e le tecniche argomentative- deontologia.</w:t>
      </w:r>
      <w:r w:rsidR="00233F38">
        <w:rPr>
          <w:rFonts w:ascii="Times New Roman" w:hAnsi="Times New Roman" w:cs="Times New Roman"/>
          <w:sz w:val="26"/>
          <w:szCs w:val="26"/>
        </w:rPr>
        <w:t xml:space="preserve"> Dovere di segretezza e riservatezza.</w:t>
      </w:r>
    </w:p>
    <w:p w14:paraId="123AA0A4" w14:textId="111B5C92" w:rsidR="00472FF3" w:rsidRDefault="00140883" w:rsidP="00005EB0">
      <w:pPr>
        <w:rPr>
          <w:rFonts w:ascii="Times New Roman" w:hAnsi="Times New Roman" w:cs="Times New Roman"/>
          <w:sz w:val="26"/>
          <w:szCs w:val="26"/>
        </w:rPr>
      </w:pPr>
      <w:r w:rsidRPr="00140883">
        <w:rPr>
          <w:rFonts w:ascii="Times New Roman" w:hAnsi="Times New Roman" w:cs="Times New Roman"/>
          <w:sz w:val="26"/>
          <w:szCs w:val="26"/>
        </w:rPr>
        <w:t>1</w:t>
      </w:r>
      <w:r w:rsidR="00112088">
        <w:rPr>
          <w:rFonts w:ascii="Times New Roman" w:hAnsi="Times New Roman" w:cs="Times New Roman"/>
          <w:sz w:val="26"/>
          <w:szCs w:val="26"/>
        </w:rPr>
        <w:t>.</w:t>
      </w:r>
      <w:r w:rsidRPr="00140883">
        <w:rPr>
          <w:rFonts w:ascii="Times New Roman" w:hAnsi="Times New Roman" w:cs="Times New Roman"/>
          <w:sz w:val="26"/>
          <w:szCs w:val="26"/>
        </w:rPr>
        <w:t xml:space="preserve"> Concorso di persone nel reato e associazione a delinquere.  Profili dell’elemento psicologico; </w:t>
      </w:r>
    </w:p>
    <w:p w14:paraId="77B5DC7B" w14:textId="38819959" w:rsidR="00472FF3" w:rsidRDefault="00140883" w:rsidP="00005EB0">
      <w:pPr>
        <w:rPr>
          <w:rFonts w:ascii="Times New Roman" w:hAnsi="Times New Roman" w:cs="Times New Roman"/>
          <w:sz w:val="26"/>
          <w:szCs w:val="26"/>
        </w:rPr>
      </w:pPr>
      <w:r w:rsidRPr="00140883">
        <w:rPr>
          <w:rFonts w:ascii="Times New Roman" w:hAnsi="Times New Roman" w:cs="Times New Roman"/>
          <w:sz w:val="26"/>
          <w:szCs w:val="26"/>
        </w:rPr>
        <w:t>2</w:t>
      </w:r>
      <w:r w:rsidR="00112088">
        <w:rPr>
          <w:rFonts w:ascii="Times New Roman" w:hAnsi="Times New Roman" w:cs="Times New Roman"/>
          <w:sz w:val="26"/>
          <w:szCs w:val="26"/>
        </w:rPr>
        <w:t>.</w:t>
      </w:r>
      <w:r w:rsidR="00472FF3">
        <w:rPr>
          <w:rFonts w:ascii="Times New Roman" w:hAnsi="Times New Roman" w:cs="Times New Roman"/>
          <w:sz w:val="26"/>
          <w:szCs w:val="26"/>
        </w:rPr>
        <w:t xml:space="preserve"> </w:t>
      </w:r>
      <w:r w:rsidRPr="00140883">
        <w:rPr>
          <w:rFonts w:ascii="Times New Roman" w:hAnsi="Times New Roman" w:cs="Times New Roman"/>
          <w:sz w:val="26"/>
          <w:szCs w:val="26"/>
        </w:rPr>
        <w:t xml:space="preserve">Reato di stalking e l’evoluzione giuridica e sociale nelle ipotesi di confine – misure cautelari collegate; </w:t>
      </w:r>
    </w:p>
    <w:p w14:paraId="6A293954" w14:textId="31494A82" w:rsidR="00140883" w:rsidRDefault="00140883" w:rsidP="00005EB0">
      <w:pPr>
        <w:rPr>
          <w:rFonts w:ascii="Times New Roman" w:hAnsi="Times New Roman" w:cs="Times New Roman"/>
          <w:sz w:val="26"/>
          <w:szCs w:val="26"/>
        </w:rPr>
      </w:pPr>
      <w:r w:rsidRPr="00140883">
        <w:rPr>
          <w:rFonts w:ascii="Times New Roman" w:hAnsi="Times New Roman" w:cs="Times New Roman"/>
          <w:sz w:val="26"/>
          <w:szCs w:val="26"/>
        </w:rPr>
        <w:t>3</w:t>
      </w:r>
      <w:r w:rsidR="00112088">
        <w:rPr>
          <w:rFonts w:ascii="Times New Roman" w:hAnsi="Times New Roman" w:cs="Times New Roman"/>
          <w:sz w:val="26"/>
          <w:szCs w:val="26"/>
        </w:rPr>
        <w:t>.</w:t>
      </w:r>
      <w:r w:rsidRPr="00140883">
        <w:rPr>
          <w:rFonts w:ascii="Times New Roman" w:hAnsi="Times New Roman" w:cs="Times New Roman"/>
          <w:sz w:val="26"/>
          <w:szCs w:val="26"/>
        </w:rPr>
        <w:t xml:space="preserve"> cause di giustificazione ed ambito di applicazione in casi concreti</w:t>
      </w:r>
      <w:r w:rsidR="00112088">
        <w:rPr>
          <w:rFonts w:ascii="Times New Roman" w:hAnsi="Times New Roman" w:cs="Times New Roman"/>
          <w:sz w:val="26"/>
          <w:szCs w:val="26"/>
        </w:rPr>
        <w:t>.</w:t>
      </w:r>
    </w:p>
    <w:p w14:paraId="45040B15" w14:textId="5B3D91A7" w:rsidR="00112088" w:rsidRPr="00005EB0" w:rsidRDefault="00112088" w:rsidP="00005E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Reati di genere: maltrattamenti in famiglia.</w:t>
      </w:r>
    </w:p>
    <w:sectPr w:rsidR="00112088" w:rsidRPr="00005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F3313"/>
    <w:multiLevelType w:val="hybridMultilevel"/>
    <w:tmpl w:val="4386F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24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1D"/>
    <w:rsid w:val="00005EB0"/>
    <w:rsid w:val="00104186"/>
    <w:rsid w:val="00112088"/>
    <w:rsid w:val="00140883"/>
    <w:rsid w:val="001727B9"/>
    <w:rsid w:val="001977F3"/>
    <w:rsid w:val="00233F38"/>
    <w:rsid w:val="003E291B"/>
    <w:rsid w:val="00472FF3"/>
    <w:rsid w:val="00650C79"/>
    <w:rsid w:val="00696D1D"/>
    <w:rsid w:val="007E6B1D"/>
    <w:rsid w:val="00992800"/>
    <w:rsid w:val="00A35FA7"/>
    <w:rsid w:val="00B419DF"/>
    <w:rsid w:val="00CC4C62"/>
    <w:rsid w:val="00D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4659"/>
  <w15:chartTrackingRefBased/>
  <w15:docId w15:val="{03196616-70B4-4476-9E24-04A5BE72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Palermo</dc:creator>
  <cp:keywords/>
  <dc:description/>
  <cp:lastModifiedBy>Francesca Palermo</cp:lastModifiedBy>
  <cp:revision>11</cp:revision>
  <cp:lastPrinted>2023-12-06T14:13:00Z</cp:lastPrinted>
  <dcterms:created xsi:type="dcterms:W3CDTF">2023-12-06T10:51:00Z</dcterms:created>
  <dcterms:modified xsi:type="dcterms:W3CDTF">2023-12-12T10:55:00Z</dcterms:modified>
</cp:coreProperties>
</file>